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E6D" w:rsidRPr="00EF263B" w:rsidRDefault="00EF263B" w:rsidP="00A871C3">
      <w:pPr>
        <w:jc w:val="center"/>
        <w:rPr>
          <w:b/>
          <w:noProof/>
          <w:sz w:val="30"/>
          <w:szCs w:val="30"/>
          <w:lang w:eastAsia="tr-TR"/>
        </w:rPr>
      </w:pPr>
      <w:r w:rsidRPr="00EF263B">
        <w:rPr>
          <w:b/>
          <w:noProof/>
          <w:sz w:val="30"/>
          <w:szCs w:val="30"/>
          <w:lang w:eastAsia="tr-TR"/>
        </w:rPr>
        <w:t>SGM 1033</w:t>
      </w:r>
    </w:p>
    <w:p w:rsidR="00861E2A" w:rsidRDefault="00861E2A" w:rsidP="00A871C3">
      <w:pPr>
        <w:jc w:val="center"/>
        <w:rPr>
          <w:b/>
          <w:noProof/>
          <w:lang w:eastAsia="tr-TR"/>
        </w:rPr>
      </w:pPr>
    </w:p>
    <w:p w:rsidR="000E6E6D" w:rsidRDefault="000E6E6D" w:rsidP="00A871C3">
      <w:pPr>
        <w:jc w:val="center"/>
        <w:rPr>
          <w:b/>
        </w:rPr>
      </w:pPr>
    </w:p>
    <w:p w:rsidR="005C2A63" w:rsidRDefault="005C2A63" w:rsidP="005E2EB9">
      <w:pPr>
        <w:jc w:val="center"/>
        <w:rPr>
          <w:b/>
          <w:noProof/>
          <w:lang w:eastAsia="tr-TR"/>
        </w:rPr>
      </w:pPr>
    </w:p>
    <w:p w:rsidR="00A14700" w:rsidRDefault="0063361B" w:rsidP="00EF263B">
      <w:pPr>
        <w:jc w:val="center"/>
        <w:rPr>
          <w:rFonts w:cstheme="minorHAnsi"/>
        </w:rPr>
      </w:pPr>
      <w:r>
        <w:rPr>
          <w:rFonts w:cstheme="minorHAnsi"/>
          <w:noProof/>
        </w:rPr>
        <w:drawing>
          <wp:inline distT="0" distB="0" distL="0" distR="0">
            <wp:extent cx="6479540" cy="5734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M 1031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5734050"/>
                    </a:xfrm>
                    <a:prstGeom prst="rect">
                      <a:avLst/>
                    </a:prstGeom>
                  </pic:spPr>
                </pic:pic>
              </a:graphicData>
            </a:graphic>
          </wp:inline>
        </w:drawing>
      </w:r>
    </w:p>
    <w:p w:rsidR="005C2A63" w:rsidRDefault="005C2A63" w:rsidP="005C2A63">
      <w:pPr>
        <w:rPr>
          <w:rFonts w:cstheme="minorHAnsi"/>
        </w:rPr>
      </w:pPr>
      <w:r w:rsidRPr="0083108E">
        <w:rPr>
          <w:rFonts w:cstheme="minorHAnsi"/>
        </w:rPr>
        <w:t>Ürün</w:t>
      </w:r>
      <w:r>
        <w:rPr>
          <w:rFonts w:cstheme="minorHAnsi"/>
        </w:rPr>
        <w:t xml:space="preserve"> görselde gösterildiği gibi </w:t>
      </w:r>
      <w:r w:rsidR="00EF263B">
        <w:rPr>
          <w:rFonts w:cstheme="minorHAnsi"/>
        </w:rPr>
        <w:t>kafes sistemi ile örülen bir yapıdan</w:t>
      </w:r>
      <w:r w:rsidR="003B309F">
        <w:rPr>
          <w:rFonts w:cstheme="minorHAnsi"/>
        </w:rPr>
        <w:t xml:space="preserve"> en üst noktasında oluşturulan evden çıkan </w:t>
      </w:r>
      <w:r w:rsidR="00EF263B">
        <w:rPr>
          <w:rFonts w:cstheme="minorHAnsi"/>
        </w:rPr>
        <w:t>krom kaydırak olacak şekilde tasarlanıp üretilecektir.</w:t>
      </w:r>
      <w:r>
        <w:rPr>
          <w:rFonts w:cstheme="minorHAnsi"/>
        </w:rPr>
        <w:t xml:space="preserve"> </w:t>
      </w:r>
    </w:p>
    <w:p w:rsidR="005C2A63" w:rsidRDefault="00EF263B" w:rsidP="005C2A63">
      <w:pPr>
        <w:rPr>
          <w:rFonts w:cstheme="minorHAnsi"/>
        </w:rPr>
      </w:pPr>
      <w:r>
        <w:rPr>
          <w:rFonts w:cstheme="minorHAnsi"/>
        </w:rPr>
        <w:t xml:space="preserve">Ürün </w:t>
      </w:r>
      <w:r w:rsidR="003B309F">
        <w:rPr>
          <w:rFonts w:cstheme="minorHAnsi"/>
        </w:rPr>
        <w:t xml:space="preserve">çevresinde kısa </w:t>
      </w:r>
      <w:r>
        <w:rPr>
          <w:rFonts w:cstheme="minorHAnsi"/>
        </w:rPr>
        <w:t>zemin bağlantı boruları min</w:t>
      </w:r>
      <w:r w:rsidR="0063361B">
        <w:rPr>
          <w:rFonts w:cstheme="minorHAnsi"/>
        </w:rPr>
        <w:t>i</w:t>
      </w:r>
      <w:r>
        <w:rPr>
          <w:rFonts w:cstheme="minorHAnsi"/>
        </w:rPr>
        <w:t>mum çap 42,4mm et kalınlığı 2-4mm olan borulardan oluşacaktır. Kafesi ve küreler arası bağlantıyı oluşturan yatay ve çapraz borular ise çap 60,3mm et kalınlığı 2-4mm olan borular uçları preslenmiş şeklinde meydana gelecektir.</w:t>
      </w:r>
    </w:p>
    <w:p w:rsidR="003B309F" w:rsidRDefault="003B309F" w:rsidP="005C2A63">
      <w:pPr>
        <w:rPr>
          <w:rFonts w:cstheme="minorHAnsi"/>
        </w:rPr>
      </w:pPr>
      <w:r>
        <w:rPr>
          <w:rFonts w:cstheme="minorHAnsi"/>
        </w:rPr>
        <w:t>Kafesin en üst noktasında uygun geometride oluşturulan ev için zemin bağlantı destek boruları olacaktır. Destek boruları min</w:t>
      </w:r>
      <w:r w:rsidR="0063361B">
        <w:rPr>
          <w:rFonts w:cstheme="minorHAnsi"/>
        </w:rPr>
        <w:t>i</w:t>
      </w:r>
      <w:r>
        <w:rPr>
          <w:rFonts w:cstheme="minorHAnsi"/>
        </w:rPr>
        <w:t>mum çap 114,3mm et kalınlığı 3-5mm arasında olacaktır.</w:t>
      </w:r>
    </w:p>
    <w:p w:rsidR="003B309F" w:rsidRDefault="003B309F" w:rsidP="005C2A63">
      <w:pPr>
        <w:rPr>
          <w:rFonts w:cstheme="minorHAnsi"/>
        </w:rPr>
      </w:pPr>
      <w:r>
        <w:rPr>
          <w:rFonts w:cstheme="minorHAnsi"/>
        </w:rPr>
        <w:t>Uygun geometride oluşturulan ev için platform detayları oluşturulacaktır. Bu platform detayları alt destek karkas ile desteklenecektir.</w:t>
      </w:r>
    </w:p>
    <w:p w:rsidR="003B309F" w:rsidRDefault="003B309F" w:rsidP="005C2A63">
      <w:pPr>
        <w:rPr>
          <w:rFonts w:cstheme="minorHAnsi"/>
        </w:rPr>
      </w:pPr>
      <w:r>
        <w:rPr>
          <w:rFonts w:cstheme="minorHAnsi"/>
        </w:rPr>
        <w:t>Karkas boruları min</w:t>
      </w:r>
      <w:r w:rsidR="0063361B">
        <w:rPr>
          <w:rFonts w:cstheme="minorHAnsi"/>
        </w:rPr>
        <w:t>i</w:t>
      </w:r>
      <w:r>
        <w:rPr>
          <w:rFonts w:cstheme="minorHAnsi"/>
        </w:rPr>
        <w:t>mum çap 42,4mm et kalınlığı 2-4mm siyah borulardan oluşacaktır.</w:t>
      </w:r>
    </w:p>
    <w:p w:rsidR="00EF263B" w:rsidRDefault="00EF263B" w:rsidP="00EF263B">
      <w:pPr>
        <w:rPr>
          <w:rFonts w:cstheme="minorHAnsi"/>
        </w:rPr>
      </w:pPr>
      <w:r>
        <w:rPr>
          <w:rFonts w:cstheme="minorHAnsi"/>
        </w:rPr>
        <w:lastRenderedPageBreak/>
        <w:t xml:space="preserve">Kafesin </w:t>
      </w:r>
      <w:r w:rsidR="003B309F">
        <w:rPr>
          <w:rFonts w:cstheme="minorHAnsi"/>
        </w:rPr>
        <w:t xml:space="preserve">en üst noktasında yer alan evde </w:t>
      </w:r>
      <w:r>
        <w:rPr>
          <w:rFonts w:cstheme="minorHAnsi"/>
        </w:rPr>
        <w:t xml:space="preserve">gerekli duyulan noktalarına </w:t>
      </w:r>
      <w:r w:rsidRPr="0083108E">
        <w:rPr>
          <w:rFonts w:cstheme="minorHAnsi"/>
        </w:rPr>
        <w:t xml:space="preserve">CNC ROUTER tezgâhlarda işlenmiş </w:t>
      </w:r>
      <w:proofErr w:type="spellStart"/>
      <w:r w:rsidRPr="0083108E">
        <w:rPr>
          <w:rFonts w:cstheme="minorHAnsi"/>
        </w:rPr>
        <w:t>min</w:t>
      </w:r>
      <w:proofErr w:type="spellEnd"/>
      <w:r>
        <w:rPr>
          <w:rFonts w:cstheme="minorHAnsi"/>
        </w:rPr>
        <w:t xml:space="preserve"> 12</w:t>
      </w:r>
      <w:r w:rsidRPr="0083108E">
        <w:rPr>
          <w:rFonts w:cstheme="minorHAnsi"/>
        </w:rPr>
        <w:t xml:space="preserve"> mm kalınlığında yüksek basınçlı lamine (HPL) malzemelerden meydana gelmelidir.</w:t>
      </w:r>
      <w:r>
        <w:rPr>
          <w:rFonts w:cstheme="minorHAnsi"/>
        </w:rPr>
        <w:t xml:space="preserve"> Üçgen paneller, eğimli yüzeyler oluşturacak şekilde ürün iskeletine </w:t>
      </w:r>
      <w:proofErr w:type="spellStart"/>
      <w:r>
        <w:rPr>
          <w:rFonts w:cstheme="minorHAnsi"/>
        </w:rPr>
        <w:t>aluminyum</w:t>
      </w:r>
      <w:proofErr w:type="spellEnd"/>
      <w:r w:rsidRPr="00DC0B3E">
        <w:rPr>
          <w:rFonts w:cstheme="minorHAnsi"/>
        </w:rPr>
        <w:t xml:space="preserve"> </w:t>
      </w:r>
      <w:r>
        <w:rPr>
          <w:rFonts w:cstheme="minorHAnsi"/>
        </w:rPr>
        <w:t>döküm bağlantı kelepçeleri yardımıyla bağlanmalıdır.</w:t>
      </w:r>
    </w:p>
    <w:p w:rsidR="005C2A63" w:rsidRDefault="005C2A63" w:rsidP="005C2A63">
      <w:pPr>
        <w:jc w:val="center"/>
        <w:rPr>
          <w:b/>
          <w:noProof/>
          <w:lang w:eastAsia="tr-TR"/>
        </w:rPr>
      </w:pPr>
    </w:p>
    <w:p w:rsidR="00964257" w:rsidRDefault="00964257" w:rsidP="00964257">
      <w:pPr>
        <w:jc w:val="center"/>
        <w:rPr>
          <w:b/>
          <w:noProof/>
          <w:lang w:eastAsia="tr-TR"/>
        </w:rPr>
      </w:pPr>
    </w:p>
    <w:p w:rsidR="005C2A63" w:rsidRDefault="005C2A63" w:rsidP="00AC10EF">
      <w:pPr>
        <w:rPr>
          <w:rFonts w:cstheme="minorHAnsi"/>
        </w:rPr>
      </w:pPr>
    </w:p>
    <w:p w:rsidR="00AC10EF" w:rsidRDefault="00AC10EF" w:rsidP="00AC10EF">
      <w:pPr>
        <w:rPr>
          <w:rFonts w:cstheme="minorHAnsi"/>
        </w:rPr>
      </w:pPr>
      <w:r>
        <w:rPr>
          <w:rFonts w:cstheme="minorHAnsi"/>
          <w:noProof/>
          <w:lang w:eastAsia="tr-TR"/>
        </w:rPr>
        <w:drawing>
          <wp:anchor distT="0" distB="0" distL="114300" distR="114300" simplePos="0" relativeHeight="251672576" behindDoc="1" locked="0" layoutInCell="1" allowOverlap="1">
            <wp:simplePos x="0" y="0"/>
            <wp:positionH relativeFrom="margin">
              <wp:posOffset>305435</wp:posOffset>
            </wp:positionH>
            <wp:positionV relativeFrom="paragraph">
              <wp:posOffset>101600</wp:posOffset>
            </wp:positionV>
            <wp:extent cx="1031875" cy="1244600"/>
            <wp:effectExtent l="0" t="0" r="0" b="0"/>
            <wp:wrapTight wrapText="bothSides">
              <wp:wrapPolygon edited="0">
                <wp:start x="0" y="0"/>
                <wp:lineTo x="0" y="21159"/>
                <wp:lineTo x="21135" y="21159"/>
                <wp:lineTo x="21135"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cgenikili.jpg"/>
                    <pic:cNvPicPr/>
                  </pic:nvPicPr>
                  <pic:blipFill rotWithShape="1">
                    <a:blip r:embed="rId9" cstate="print">
                      <a:extLst>
                        <a:ext uri="{28A0092B-C50C-407E-A947-70E740481C1C}">
                          <a14:useLocalDpi xmlns:a14="http://schemas.microsoft.com/office/drawing/2010/main" val="0"/>
                        </a:ext>
                      </a:extLst>
                    </a:blip>
                    <a:srcRect l="16818" r="33013" b="15017"/>
                    <a:stretch/>
                  </pic:blipFill>
                  <pic:spPr bwMode="auto">
                    <a:xfrm>
                      <a:off x="0" y="0"/>
                      <a:ext cx="1031875" cy="124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C10EF" w:rsidRDefault="00AC10EF" w:rsidP="00AC10EF">
      <w:pPr>
        <w:rPr>
          <w:rFonts w:cstheme="minorHAnsi"/>
        </w:rPr>
      </w:pPr>
      <w:r>
        <w:rPr>
          <w:rFonts w:cstheme="minorHAnsi"/>
        </w:rPr>
        <w:t>Boruların birbiriyle bağlantısı</w:t>
      </w:r>
      <w:r w:rsidRPr="00CC0BF0">
        <w:rPr>
          <w:rFonts w:cstheme="minorHAnsi"/>
        </w:rPr>
        <w:t xml:space="preserve"> min. Ø </w:t>
      </w:r>
      <w:r w:rsidR="00A14700">
        <w:rPr>
          <w:rFonts w:cstheme="minorHAnsi"/>
        </w:rPr>
        <w:t>25</w:t>
      </w:r>
      <w:r w:rsidR="00900425">
        <w:rPr>
          <w:rFonts w:cstheme="minorHAnsi"/>
        </w:rPr>
        <w:t>0</w:t>
      </w:r>
      <w:r w:rsidRPr="00CC0BF0">
        <w:rPr>
          <w:rFonts w:cstheme="minorHAnsi"/>
        </w:rPr>
        <w:t xml:space="preserve"> mm çaplı </w:t>
      </w:r>
      <w:r w:rsidRPr="00964257">
        <w:rPr>
          <w:rFonts w:cstheme="minorHAnsi"/>
          <w:b/>
        </w:rPr>
        <w:t>alüminyum</w:t>
      </w:r>
      <w:r w:rsidR="00681F89" w:rsidRPr="00964257">
        <w:rPr>
          <w:rFonts w:cstheme="minorHAnsi"/>
          <w:b/>
        </w:rPr>
        <w:t xml:space="preserve"> döküm</w:t>
      </w:r>
      <w:r w:rsidRPr="00964257">
        <w:rPr>
          <w:rFonts w:cstheme="minorHAnsi"/>
          <w:b/>
        </w:rPr>
        <w:t xml:space="preserve"> dairesel bağlantı aparatı</w:t>
      </w:r>
      <w:r>
        <w:rPr>
          <w:rFonts w:cstheme="minorHAnsi"/>
        </w:rPr>
        <w:t xml:space="preserve"> ile sağlanmalıdır.</w:t>
      </w:r>
      <w:r w:rsidR="00267BA1">
        <w:rPr>
          <w:rFonts w:cstheme="minorHAnsi"/>
        </w:rPr>
        <w:t xml:space="preserve"> </w:t>
      </w:r>
      <w:r w:rsidRPr="00CC0BF0">
        <w:rPr>
          <w:rFonts w:cstheme="minorHAnsi"/>
        </w:rPr>
        <w:t>Korozyonu önlemek ve rengini sabit tutmak amacıyla kumlama işlemine tabi tutulacaktır. Çözücü içermeyen çinko /</w:t>
      </w:r>
      <w:r w:rsidR="00267BA1">
        <w:rPr>
          <w:rFonts w:cstheme="minorHAnsi"/>
        </w:rPr>
        <w:t xml:space="preserve"> </w:t>
      </w:r>
      <w:proofErr w:type="spellStart"/>
      <w:r w:rsidRPr="00CC0BF0">
        <w:rPr>
          <w:rFonts w:cstheme="minorHAnsi"/>
        </w:rPr>
        <w:t>epoksi</w:t>
      </w:r>
      <w:proofErr w:type="spellEnd"/>
      <w:r w:rsidR="00267BA1">
        <w:rPr>
          <w:rFonts w:cstheme="minorHAnsi"/>
        </w:rPr>
        <w:t xml:space="preserve"> </w:t>
      </w:r>
      <w:r w:rsidRPr="00CC0BF0">
        <w:rPr>
          <w:rFonts w:cstheme="minorHAnsi"/>
        </w:rPr>
        <w:t>/polyester esaslı toz fırın boya ile boyanacaktır. EPDM kapaklar ile muhafaza altına alınacaktır.</w:t>
      </w:r>
    </w:p>
    <w:p w:rsidR="002F1A35" w:rsidRPr="00964257" w:rsidRDefault="002F1A35" w:rsidP="002F1A35">
      <w:pPr>
        <w:spacing w:after="0"/>
        <w:rPr>
          <w:rFonts w:cstheme="minorHAnsi"/>
        </w:rPr>
      </w:pPr>
    </w:p>
    <w:p w:rsidR="002F1A35" w:rsidRDefault="002F1A35" w:rsidP="002F1A35">
      <w:pPr>
        <w:spacing w:after="0"/>
        <w:rPr>
          <w:rFonts w:cstheme="minorHAnsi"/>
          <w:i/>
          <w:color w:val="BF8F00" w:themeColor="accent4" w:themeShade="BF"/>
          <w:sz w:val="20"/>
          <w:szCs w:val="20"/>
        </w:rPr>
      </w:pPr>
      <w:r>
        <w:rPr>
          <w:rFonts w:cstheme="minorHAnsi"/>
          <w:noProof/>
          <w:lang w:eastAsia="tr-TR"/>
        </w:rPr>
        <w:drawing>
          <wp:anchor distT="0" distB="0" distL="114300" distR="114300" simplePos="0" relativeHeight="251673600" behindDoc="1" locked="0" layoutInCell="1" allowOverlap="1">
            <wp:simplePos x="0" y="0"/>
            <wp:positionH relativeFrom="column">
              <wp:posOffset>332740</wp:posOffset>
            </wp:positionH>
            <wp:positionV relativeFrom="paragraph">
              <wp:posOffset>136525</wp:posOffset>
            </wp:positionV>
            <wp:extent cx="1012825" cy="1308735"/>
            <wp:effectExtent l="0" t="0" r="0" b="5715"/>
            <wp:wrapTight wrapText="bothSides">
              <wp:wrapPolygon edited="0">
                <wp:start x="0" y="0"/>
                <wp:lineTo x="0" y="21380"/>
                <wp:lineTo x="21126" y="21380"/>
                <wp:lineTo x="21126"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elepce.jpg"/>
                    <pic:cNvPicPr/>
                  </pic:nvPicPr>
                  <pic:blipFill rotWithShape="1">
                    <a:blip r:embed="rId10" cstate="print">
                      <a:extLst>
                        <a:ext uri="{28A0092B-C50C-407E-A947-70E740481C1C}">
                          <a14:useLocalDpi xmlns:a14="http://schemas.microsoft.com/office/drawing/2010/main" val="0"/>
                        </a:ext>
                      </a:extLst>
                    </a:blip>
                    <a:srcRect l="29499" t="21731" r="48662" b="38629"/>
                    <a:stretch/>
                  </pic:blipFill>
                  <pic:spPr bwMode="auto">
                    <a:xfrm>
                      <a:off x="0" y="0"/>
                      <a:ext cx="1012825" cy="1308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F1A35" w:rsidRPr="00964257" w:rsidRDefault="002F1A35" w:rsidP="002F1A35">
      <w:pPr>
        <w:spacing w:after="0"/>
        <w:rPr>
          <w:rFonts w:cstheme="minorHAnsi"/>
          <w:color w:val="BF8F00" w:themeColor="accent4" w:themeShade="BF"/>
          <w:sz w:val="20"/>
          <w:szCs w:val="20"/>
        </w:rPr>
      </w:pPr>
    </w:p>
    <w:p w:rsidR="00681F89" w:rsidRDefault="00681F89" w:rsidP="00AC10EF">
      <w:pPr>
        <w:rPr>
          <w:rFonts w:cstheme="minorHAnsi"/>
          <w:noProof/>
          <w:lang w:eastAsia="tr-TR"/>
        </w:rPr>
      </w:pPr>
    </w:p>
    <w:p w:rsidR="00681F89" w:rsidRPr="00CC0BF0" w:rsidRDefault="00681F89" w:rsidP="002F1A35">
      <w:pPr>
        <w:rPr>
          <w:rFonts w:cstheme="minorHAnsi"/>
        </w:rPr>
      </w:pPr>
      <w:r>
        <w:rPr>
          <w:rFonts w:cstheme="minorHAnsi"/>
        </w:rPr>
        <w:t xml:space="preserve">Asma köprünün ve HPL panellerin borulara bağlantısı </w:t>
      </w:r>
      <w:proofErr w:type="spellStart"/>
      <w:r w:rsidR="009D723D">
        <w:rPr>
          <w:rFonts w:cstheme="minorHAnsi"/>
          <w:b/>
        </w:rPr>
        <w:t>aluminyum</w:t>
      </w:r>
      <w:proofErr w:type="spellEnd"/>
      <w:r w:rsidRPr="00964257">
        <w:rPr>
          <w:rFonts w:cstheme="minorHAnsi"/>
          <w:b/>
        </w:rPr>
        <w:t xml:space="preserve"> döküm bağlantı kelepçeleri</w:t>
      </w:r>
      <w:r>
        <w:rPr>
          <w:rFonts w:cstheme="minorHAnsi"/>
        </w:rPr>
        <w:t xml:space="preserve"> ile sağlanmalıdır.</w:t>
      </w:r>
    </w:p>
    <w:p w:rsidR="00681F89" w:rsidRDefault="00681F89" w:rsidP="00AC10EF">
      <w:pPr>
        <w:rPr>
          <w:rFonts w:cstheme="minorHAnsi"/>
          <w:noProof/>
          <w:lang w:eastAsia="tr-TR"/>
        </w:rPr>
      </w:pPr>
    </w:p>
    <w:p w:rsidR="00AC10EF" w:rsidRDefault="00AC10EF" w:rsidP="00AC10EF">
      <w:pPr>
        <w:rPr>
          <w:rFonts w:cstheme="minorHAnsi"/>
        </w:rPr>
      </w:pPr>
    </w:p>
    <w:p w:rsidR="00DB261B" w:rsidRDefault="00620C8C" w:rsidP="0083108E">
      <w:pPr>
        <w:rPr>
          <w:rFonts w:cstheme="minorHAnsi"/>
        </w:rPr>
      </w:pPr>
      <w:r>
        <w:rPr>
          <w:rFonts w:cstheme="minorHAnsi"/>
        </w:rPr>
        <w:t>Z</w:t>
      </w:r>
      <w:r w:rsidR="0083108E" w:rsidRPr="0083108E">
        <w:rPr>
          <w:rFonts w:cstheme="minorHAnsi"/>
        </w:rPr>
        <w:t>emin</w:t>
      </w:r>
      <w:r w:rsidR="00964257">
        <w:rPr>
          <w:rFonts w:cstheme="minorHAnsi"/>
        </w:rPr>
        <w:t xml:space="preserve"> </w:t>
      </w:r>
      <w:r w:rsidR="0083108E" w:rsidRPr="0083108E">
        <w:rPr>
          <w:rFonts w:cstheme="minorHAnsi"/>
        </w:rPr>
        <w:t xml:space="preserve">(platform), CNC ROUTER tezgâhlarda işlenmiş </w:t>
      </w:r>
      <w:proofErr w:type="spellStart"/>
      <w:r w:rsidR="0083108E" w:rsidRPr="0083108E">
        <w:rPr>
          <w:rFonts w:cstheme="minorHAnsi"/>
        </w:rPr>
        <w:t>min</w:t>
      </w:r>
      <w:proofErr w:type="spellEnd"/>
      <w:r w:rsidR="006B139D">
        <w:rPr>
          <w:rFonts w:cstheme="minorHAnsi"/>
        </w:rPr>
        <w:t xml:space="preserve"> </w:t>
      </w:r>
      <w:r w:rsidR="00927542">
        <w:rPr>
          <w:rFonts w:cstheme="minorHAnsi"/>
        </w:rPr>
        <w:t>16</w:t>
      </w:r>
      <w:r w:rsidR="0083108E" w:rsidRPr="0083108E">
        <w:rPr>
          <w:rFonts w:cstheme="minorHAnsi"/>
        </w:rPr>
        <w:t xml:space="preserve"> mm kalınlığında </w:t>
      </w:r>
      <w:proofErr w:type="spellStart"/>
      <w:r w:rsidR="003B309F">
        <w:rPr>
          <w:rFonts w:cstheme="minorHAnsi"/>
        </w:rPr>
        <w:t>kontraplak</w:t>
      </w:r>
      <w:proofErr w:type="spellEnd"/>
      <w:r w:rsidR="003B309F">
        <w:rPr>
          <w:rFonts w:cstheme="minorHAnsi"/>
        </w:rPr>
        <w:t xml:space="preserve"> </w:t>
      </w:r>
      <w:r w:rsidR="0083108E" w:rsidRPr="0083108E">
        <w:rPr>
          <w:rFonts w:cstheme="minorHAnsi"/>
        </w:rPr>
        <w:t>malzemelerden meydana gelmelidir.</w:t>
      </w:r>
      <w:r w:rsidR="007D021B">
        <w:rPr>
          <w:rFonts w:cstheme="minorHAnsi"/>
        </w:rPr>
        <w:t xml:space="preserve"> </w:t>
      </w:r>
      <w:r w:rsidR="0083108E" w:rsidRPr="0083108E">
        <w:rPr>
          <w:rFonts w:cstheme="minorHAnsi"/>
        </w:rPr>
        <w:t>Platform</w:t>
      </w:r>
      <w:r>
        <w:rPr>
          <w:rFonts w:cstheme="minorHAnsi"/>
        </w:rPr>
        <w:t>lar</w:t>
      </w:r>
      <w:r w:rsidR="003B309F">
        <w:rPr>
          <w:rFonts w:cstheme="minorHAnsi"/>
        </w:rPr>
        <w:t xml:space="preserve"> düzgün</w:t>
      </w:r>
      <w:r>
        <w:rPr>
          <w:rFonts w:cstheme="minorHAnsi"/>
        </w:rPr>
        <w:t xml:space="preserve"> formda </w:t>
      </w:r>
      <w:r w:rsidR="0083108E" w:rsidRPr="0083108E">
        <w:rPr>
          <w:rFonts w:cstheme="minorHAnsi"/>
        </w:rPr>
        <w:t xml:space="preserve">ve kaydırmaz özellikte olmalıdır. </w:t>
      </w:r>
    </w:p>
    <w:p w:rsidR="00391D5F" w:rsidRDefault="0083108E" w:rsidP="0083108E">
      <w:pPr>
        <w:rPr>
          <w:rFonts w:cstheme="minorHAnsi"/>
        </w:rPr>
      </w:pPr>
      <w:r w:rsidRPr="0083108E">
        <w:rPr>
          <w:rFonts w:cstheme="minorHAnsi"/>
        </w:rPr>
        <w:t>Ürün üzerinde TS EN 1176-1 ve normlarına aykırı bir detay bulunmayacaktır.</w:t>
      </w:r>
    </w:p>
    <w:p w:rsidR="00FA32FB" w:rsidRDefault="001D53C9" w:rsidP="00267BA1">
      <w:pPr>
        <w:rPr>
          <w:rFonts w:cstheme="minorHAnsi"/>
        </w:rPr>
      </w:pPr>
      <w:r>
        <w:rPr>
          <w:rFonts w:cstheme="minorHAnsi"/>
        </w:rPr>
        <w:t>Ürünün yan duvarları üzerinde ürünün temasını vurgulayan desenler</w:t>
      </w:r>
      <w:r w:rsidR="00B64A20">
        <w:rPr>
          <w:rFonts w:cstheme="minorHAnsi"/>
        </w:rPr>
        <w:t xml:space="preserve"> ve boşluklar</w:t>
      </w:r>
      <w:r>
        <w:rPr>
          <w:rFonts w:cstheme="minorHAnsi"/>
        </w:rPr>
        <w:t xml:space="preserve"> bulunmalıdır.</w:t>
      </w:r>
    </w:p>
    <w:p w:rsidR="00721ECF" w:rsidRDefault="00267BA1" w:rsidP="0083108E">
      <w:pPr>
        <w:rPr>
          <w:rFonts w:cstheme="minorHAnsi"/>
        </w:rPr>
      </w:pPr>
      <w:r>
        <w:rPr>
          <w:rFonts w:cstheme="minorHAnsi"/>
        </w:rPr>
        <w:t xml:space="preserve">Üründe </w:t>
      </w:r>
      <w:r w:rsidR="0063361B">
        <w:rPr>
          <w:rFonts w:cstheme="minorHAnsi"/>
        </w:rPr>
        <w:t>2</w:t>
      </w:r>
      <w:r>
        <w:rPr>
          <w:rFonts w:cstheme="minorHAnsi"/>
        </w:rPr>
        <w:t xml:space="preserve"> adet </w:t>
      </w:r>
      <w:r w:rsidR="00C62176">
        <w:rPr>
          <w:rFonts w:cstheme="minorHAnsi"/>
        </w:rPr>
        <w:t xml:space="preserve">krom </w:t>
      </w:r>
      <w:r w:rsidR="005A54D1">
        <w:rPr>
          <w:rFonts w:cstheme="minorHAnsi"/>
        </w:rPr>
        <w:t>kaydırak</w:t>
      </w:r>
      <w:r w:rsidR="003B309F">
        <w:rPr>
          <w:rFonts w:cstheme="minorHAnsi"/>
        </w:rPr>
        <w:t xml:space="preserve"> ve ip tırmanma ağları olacaktır.</w:t>
      </w:r>
    </w:p>
    <w:p w:rsidR="008A352A" w:rsidRDefault="008A352A" w:rsidP="008A352A">
      <w:pPr>
        <w:rPr>
          <w:rFonts w:cstheme="minorHAnsi"/>
        </w:rPr>
      </w:pPr>
      <w:r>
        <w:rPr>
          <w:rFonts w:cstheme="minorHAnsi"/>
        </w:rPr>
        <w:t xml:space="preserve">Gövdelere bağlanan aparatlar üzerinde </w:t>
      </w:r>
      <w:r w:rsidRPr="0083108E">
        <w:rPr>
          <w:rFonts w:cstheme="minorHAnsi"/>
        </w:rPr>
        <w:t>TS EN 1176-1 ve normlarına aykırı bir detay bulunmayacaktır.</w:t>
      </w:r>
    </w:p>
    <w:p w:rsidR="009567A0" w:rsidRPr="009567A0" w:rsidRDefault="009567A0" w:rsidP="009567A0">
      <w:pPr>
        <w:rPr>
          <w:rFonts w:cstheme="minorHAnsi"/>
        </w:rPr>
      </w:pPr>
      <w:r w:rsidRPr="009567A0">
        <w:rPr>
          <w:rFonts w:cstheme="minorHAnsi"/>
        </w:rPr>
        <w:t>Ürün üzerinden tüm metal aksamlar boyanacaktır. Anti korozyon ve boya işlemleri özellikleri aşağıda belirtilmiştir.</w:t>
      </w:r>
    </w:p>
    <w:p w:rsidR="009567A0" w:rsidRPr="009567A0" w:rsidRDefault="009567A0" w:rsidP="009567A0">
      <w:pPr>
        <w:rPr>
          <w:rFonts w:cstheme="minorHAnsi"/>
        </w:rPr>
      </w:pPr>
      <w:r w:rsidRPr="009567A0">
        <w:rPr>
          <w:rFonts w:cstheme="minorHAnsi"/>
        </w:rPr>
        <w:t>İşlem yapılacak yüzey ilk olarak SA 2.5 kalitesinde kumlanarak yüzey üzerindeki pas, yağ, cüruf vb. temizlenecektir.</w:t>
      </w:r>
    </w:p>
    <w:p w:rsidR="009567A0" w:rsidRPr="009567A0" w:rsidRDefault="009567A0" w:rsidP="009567A0">
      <w:pPr>
        <w:rPr>
          <w:rFonts w:cstheme="minorHAnsi"/>
        </w:rPr>
      </w:pPr>
      <w:r w:rsidRPr="009567A0">
        <w:rPr>
          <w:rFonts w:cstheme="minorHAnsi"/>
        </w:rPr>
        <w:t>Yüzeye ikinci proses olarak çinko esaslı 80 µ astar toz boya uygulanacak, son proses olarak polyester esaslı 80 µ toz boya uygulanarak renklendirilecektir.</w:t>
      </w:r>
    </w:p>
    <w:p w:rsidR="009567A0" w:rsidRPr="009567A0" w:rsidRDefault="009567A0" w:rsidP="009567A0">
      <w:pPr>
        <w:rPr>
          <w:rFonts w:cstheme="minorHAnsi"/>
        </w:rPr>
      </w:pPr>
      <w:r w:rsidRPr="009567A0">
        <w:rPr>
          <w:rFonts w:cstheme="minorHAnsi"/>
        </w:rPr>
        <w:t>Astar toz boya yüksek korozyon dirençli olacaktır.</w:t>
      </w:r>
    </w:p>
    <w:p w:rsidR="009567A0" w:rsidRPr="009567A0" w:rsidRDefault="009567A0" w:rsidP="009567A0">
      <w:pPr>
        <w:rPr>
          <w:rFonts w:cstheme="minorHAnsi"/>
        </w:rPr>
      </w:pPr>
      <w:r w:rsidRPr="009567A0">
        <w:rPr>
          <w:rFonts w:cstheme="minorHAnsi"/>
        </w:rPr>
        <w:t>Son kat boya UV dayanımlı olacak, kurşun ihtiva etmeyecektir.</w:t>
      </w:r>
    </w:p>
    <w:p w:rsidR="009567A0" w:rsidRPr="009567A0" w:rsidRDefault="009567A0" w:rsidP="009567A0">
      <w:pPr>
        <w:rPr>
          <w:rFonts w:cstheme="minorHAnsi"/>
        </w:rPr>
      </w:pPr>
      <w:r w:rsidRPr="009567A0">
        <w:rPr>
          <w:rFonts w:cstheme="minorHAnsi"/>
        </w:rPr>
        <w:t>Uygulama aşağıdaki normlara göre test edilip ilgili özelliklerde olacaktır,</w:t>
      </w:r>
    </w:p>
    <w:p w:rsidR="009567A0" w:rsidRPr="009567A0" w:rsidRDefault="009567A0" w:rsidP="009567A0">
      <w:pPr>
        <w:rPr>
          <w:rFonts w:cstheme="minorHAnsi"/>
        </w:rPr>
      </w:pPr>
      <w:r w:rsidRPr="009567A0">
        <w:rPr>
          <w:rFonts w:cstheme="minorHAnsi"/>
        </w:rPr>
        <w:t>-TS EN ISO 9227 normuna göre 1440 saat C5-M yüksek korozyon sınıfına uygun olacaktır.</w:t>
      </w:r>
    </w:p>
    <w:p w:rsidR="009567A0" w:rsidRPr="009567A0" w:rsidRDefault="009567A0" w:rsidP="009567A0">
      <w:pPr>
        <w:rPr>
          <w:rFonts w:cstheme="minorHAnsi"/>
        </w:rPr>
      </w:pPr>
      <w:r w:rsidRPr="009567A0">
        <w:rPr>
          <w:rFonts w:cstheme="minorHAnsi"/>
        </w:rPr>
        <w:t>- TS EN 6270-1 normuna göre 720 saat neme dayanıklı olacaktır.</w:t>
      </w:r>
    </w:p>
    <w:p w:rsidR="009567A0" w:rsidRPr="009567A0" w:rsidRDefault="009567A0" w:rsidP="009567A0">
      <w:pPr>
        <w:rPr>
          <w:rFonts w:cstheme="minorHAnsi"/>
        </w:rPr>
      </w:pPr>
      <w:r w:rsidRPr="009567A0">
        <w:rPr>
          <w:rFonts w:cstheme="minorHAnsi"/>
        </w:rPr>
        <w:t xml:space="preserve">- BS-EN 71-3:2013 ve A1:2014 normlarına göre </w:t>
      </w:r>
      <w:proofErr w:type="spellStart"/>
      <w:r w:rsidRPr="009567A0">
        <w:rPr>
          <w:rFonts w:cstheme="minorHAnsi"/>
        </w:rPr>
        <w:t>toksik</w:t>
      </w:r>
      <w:proofErr w:type="spellEnd"/>
      <w:r w:rsidRPr="009567A0">
        <w:rPr>
          <w:rFonts w:cstheme="minorHAnsi"/>
        </w:rPr>
        <w:t xml:space="preserve"> element içermeyecektir.</w:t>
      </w:r>
    </w:p>
    <w:p w:rsidR="009567A0" w:rsidRPr="009567A0" w:rsidRDefault="009567A0" w:rsidP="009567A0">
      <w:pPr>
        <w:rPr>
          <w:rFonts w:cstheme="minorHAnsi"/>
        </w:rPr>
      </w:pPr>
      <w:r w:rsidRPr="009567A0">
        <w:rPr>
          <w:rFonts w:cstheme="minorHAnsi"/>
        </w:rPr>
        <w:t xml:space="preserve">- </w:t>
      </w:r>
      <w:proofErr w:type="spellStart"/>
      <w:r w:rsidRPr="009567A0">
        <w:rPr>
          <w:rFonts w:cstheme="minorHAnsi"/>
        </w:rPr>
        <w:t>Poliaromatik</w:t>
      </w:r>
      <w:proofErr w:type="spellEnd"/>
      <w:r w:rsidRPr="009567A0">
        <w:rPr>
          <w:rFonts w:cstheme="minorHAnsi"/>
        </w:rPr>
        <w:t xml:space="preserve"> hidrokarbon (PAH) içermeyecektir.</w:t>
      </w:r>
    </w:p>
    <w:p w:rsidR="009567A0" w:rsidRPr="009567A0" w:rsidRDefault="009567A0" w:rsidP="009567A0">
      <w:pPr>
        <w:rPr>
          <w:rFonts w:cstheme="minorHAnsi"/>
        </w:rPr>
      </w:pPr>
      <w:r w:rsidRPr="009567A0">
        <w:rPr>
          <w:rFonts w:cstheme="minorHAnsi"/>
        </w:rPr>
        <w:t>- TS EN 71-2 normuna göre alevlenmeme özelliğine sahip olacaktır.</w:t>
      </w:r>
    </w:p>
    <w:p w:rsidR="009567A0" w:rsidRPr="009567A0" w:rsidRDefault="009567A0" w:rsidP="009567A0">
      <w:pPr>
        <w:rPr>
          <w:rFonts w:cstheme="minorHAnsi"/>
        </w:rPr>
      </w:pPr>
      <w:r w:rsidRPr="009567A0">
        <w:rPr>
          <w:rFonts w:cstheme="minorHAnsi"/>
        </w:rPr>
        <w:t>- TS EN 71-3 normuna göre element göçü bulunmayacak özelliğine sahip olacaktır.</w:t>
      </w:r>
    </w:p>
    <w:p w:rsidR="009567A0" w:rsidRPr="009567A0" w:rsidRDefault="009567A0" w:rsidP="009567A0">
      <w:pPr>
        <w:rPr>
          <w:rFonts w:cstheme="minorHAnsi"/>
        </w:rPr>
      </w:pPr>
      <w:r w:rsidRPr="009567A0">
        <w:rPr>
          <w:rFonts w:cstheme="minorHAnsi"/>
        </w:rPr>
        <w:lastRenderedPageBreak/>
        <w:t>- TS EN ISO 2409 normuna göre yapışma mukavemeti çok iyi seviyede olacaktır.</w:t>
      </w:r>
    </w:p>
    <w:p w:rsidR="009567A0" w:rsidRPr="00FA32FB" w:rsidRDefault="009567A0" w:rsidP="008A352A">
      <w:pPr>
        <w:rPr>
          <w:rFonts w:cstheme="minorHAnsi"/>
        </w:rPr>
      </w:pPr>
    </w:p>
    <w:p w:rsidR="00232C2A" w:rsidRDefault="00232C2A" w:rsidP="001F6751"/>
    <w:p w:rsidR="006C0107" w:rsidRDefault="006C0107" w:rsidP="00721ECF">
      <w:pPr>
        <w:autoSpaceDE w:val="0"/>
        <w:autoSpaceDN w:val="0"/>
        <w:adjustRightInd w:val="0"/>
        <w:jc w:val="both"/>
        <w:rPr>
          <w:rFonts w:cstheme="minorHAnsi"/>
          <w:b/>
        </w:rPr>
      </w:pPr>
    </w:p>
    <w:p w:rsidR="00721ECF" w:rsidRDefault="007F1769" w:rsidP="00721ECF">
      <w:pPr>
        <w:autoSpaceDE w:val="0"/>
        <w:autoSpaceDN w:val="0"/>
        <w:adjustRightInd w:val="0"/>
        <w:jc w:val="both"/>
        <w:rPr>
          <w:rFonts w:cstheme="minorHAnsi"/>
          <w:b/>
        </w:rPr>
      </w:pPr>
      <w:r>
        <w:rPr>
          <w:rFonts w:cstheme="minorHAnsi"/>
          <w:b/>
        </w:rPr>
        <w:t>İP</w:t>
      </w:r>
      <w:r w:rsidR="00721ECF">
        <w:rPr>
          <w:rFonts w:cstheme="minorHAnsi"/>
          <w:b/>
        </w:rPr>
        <w:t xml:space="preserve"> GENEL </w:t>
      </w:r>
      <w:proofErr w:type="gramStart"/>
      <w:r w:rsidR="00721ECF" w:rsidRPr="00964257">
        <w:rPr>
          <w:rFonts w:cstheme="minorHAnsi"/>
          <w:b/>
        </w:rPr>
        <w:t>ÖZELLİKLERİ ;</w:t>
      </w:r>
      <w:proofErr w:type="gramEnd"/>
    </w:p>
    <w:p w:rsidR="00721ECF" w:rsidRPr="00721ECF" w:rsidRDefault="00721ECF" w:rsidP="00721ECF">
      <w:pPr>
        <w:autoSpaceDE w:val="0"/>
        <w:autoSpaceDN w:val="0"/>
        <w:adjustRightInd w:val="0"/>
        <w:jc w:val="both"/>
        <w:rPr>
          <w:rFonts w:cstheme="minorHAnsi"/>
          <w:b/>
        </w:rPr>
      </w:pPr>
      <w:r>
        <w:rPr>
          <w:rFonts w:cstheme="minorHAnsi"/>
          <w:b/>
          <w:noProof/>
        </w:rPr>
        <w:t>Tırmanma Halatları:</w:t>
      </w:r>
    </w:p>
    <w:p w:rsidR="00022247" w:rsidRDefault="006C2553" w:rsidP="006C2553">
      <w:pPr>
        <w:ind w:left="2124" w:hanging="2124"/>
        <w:jc w:val="both"/>
        <w:rPr>
          <w:rFonts w:cstheme="minorHAnsi"/>
          <w:noProof/>
          <w:lang w:eastAsia="tr-TR"/>
        </w:rPr>
      </w:pPr>
      <w:r>
        <w:rPr>
          <w:noProof/>
          <w:lang w:eastAsia="tr-TR"/>
        </w:rPr>
        <w:drawing>
          <wp:anchor distT="0" distB="0" distL="114300" distR="114300" simplePos="0" relativeHeight="251671552" behindDoc="0" locked="0" layoutInCell="1" allowOverlap="1">
            <wp:simplePos x="0" y="0"/>
            <wp:positionH relativeFrom="column">
              <wp:posOffset>4643985</wp:posOffset>
            </wp:positionH>
            <wp:positionV relativeFrom="paragraph">
              <wp:posOffset>1665389</wp:posOffset>
            </wp:positionV>
            <wp:extent cx="1439693" cy="255537"/>
            <wp:effectExtent l="19050" t="19050" r="8255" b="11430"/>
            <wp:wrapSquare wrapText="bothSides"/>
            <wp:docPr id="16" name="Resim 16" descr="i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ip2.jpg"/>
                    <pic:cNvPicPr>
                      <a:picLocks noChangeAspect="1" noChangeArrowheads="1"/>
                    </pic:cNvPicPr>
                  </pic:nvPicPr>
                  <pic:blipFill>
                    <a:blip r:embed="rId11">
                      <a:extLst>
                        <a:ext uri="{28A0092B-C50C-407E-A947-70E740481C1C}">
                          <a14:useLocalDpi xmlns:a14="http://schemas.microsoft.com/office/drawing/2010/main" val="0"/>
                        </a:ext>
                      </a:extLst>
                    </a:blip>
                    <a:srcRect r="7092"/>
                    <a:stretch>
                      <a:fillRect/>
                    </a:stretch>
                  </pic:blipFill>
                  <pic:spPr bwMode="auto">
                    <a:xfrm>
                      <a:off x="0" y="0"/>
                      <a:ext cx="1439693" cy="255537"/>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022247">
        <w:rPr>
          <w:noProof/>
          <w:lang w:eastAsia="tr-TR"/>
        </w:rPr>
        <w:drawing>
          <wp:anchor distT="0" distB="0" distL="114300" distR="114300" simplePos="0" relativeHeight="251670528" behindDoc="0" locked="0" layoutInCell="1" allowOverlap="1">
            <wp:simplePos x="0" y="0"/>
            <wp:positionH relativeFrom="column">
              <wp:posOffset>4644458</wp:posOffset>
            </wp:positionH>
            <wp:positionV relativeFrom="paragraph">
              <wp:posOffset>70499</wp:posOffset>
            </wp:positionV>
            <wp:extent cx="1401279" cy="1302739"/>
            <wp:effectExtent l="19050" t="19050" r="27940" b="12065"/>
            <wp:wrapSquare wrapText="bothSides"/>
            <wp:docPr id="15" name="Resim 15" descr="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 Resim" descr="ip1.jpg"/>
                    <pic:cNvPicPr>
                      <a:picLocks noChangeAspect="1" noChangeArrowheads="1"/>
                    </pic:cNvPicPr>
                  </pic:nvPicPr>
                  <pic:blipFill>
                    <a:blip r:embed="rId12">
                      <a:extLst>
                        <a:ext uri="{28A0092B-C50C-407E-A947-70E740481C1C}">
                          <a14:useLocalDpi xmlns:a14="http://schemas.microsoft.com/office/drawing/2010/main" val="0"/>
                        </a:ext>
                      </a:extLst>
                    </a:blip>
                    <a:srcRect l="12921" t="15475" r="7864" b="11000"/>
                    <a:stretch>
                      <a:fillRect/>
                    </a:stretch>
                  </pic:blipFill>
                  <pic:spPr bwMode="auto">
                    <a:xfrm>
                      <a:off x="0" y="0"/>
                      <a:ext cx="1409518" cy="1310398"/>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022247">
        <w:rPr>
          <w:rFonts w:cstheme="minorHAnsi"/>
          <w:noProof/>
          <w:lang w:eastAsia="tr-TR"/>
        </w:rPr>
        <w:drawing>
          <wp:inline distT="0" distB="0" distL="0" distR="0">
            <wp:extent cx="4494393" cy="3122579"/>
            <wp:effectExtent l="0" t="0" r="1905" b="1905"/>
            <wp:docPr id="3" name="Resim 3" descr="ip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Untitled-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16" t="4001" r="1207"/>
                    <a:stretch/>
                  </pic:blipFill>
                  <pic:spPr bwMode="auto">
                    <a:xfrm>
                      <a:off x="0" y="0"/>
                      <a:ext cx="4511646" cy="3134566"/>
                    </a:xfrm>
                    <a:prstGeom prst="rect">
                      <a:avLst/>
                    </a:prstGeom>
                    <a:noFill/>
                    <a:ln>
                      <a:noFill/>
                    </a:ln>
                    <a:extLst>
                      <a:ext uri="{53640926-AAD7-44D8-BBD7-CCE9431645EC}">
                        <a14:shadowObscured xmlns:a14="http://schemas.microsoft.com/office/drawing/2010/main"/>
                      </a:ext>
                    </a:extLst>
                  </pic:spPr>
                </pic:pic>
              </a:graphicData>
            </a:graphic>
          </wp:inline>
        </w:drawing>
      </w:r>
    </w:p>
    <w:p w:rsidR="00022247" w:rsidRPr="00964257" w:rsidRDefault="00022247" w:rsidP="00022247">
      <w:pPr>
        <w:pStyle w:val="ListeParagraf"/>
        <w:numPr>
          <w:ilvl w:val="0"/>
          <w:numId w:val="1"/>
        </w:numPr>
        <w:spacing w:after="160" w:line="256" w:lineRule="auto"/>
      </w:pPr>
      <w:r w:rsidRPr="00964257">
        <w:t>Zırhlı çelik halatın dış çapı 16 mm olacaktır.</w:t>
      </w:r>
    </w:p>
    <w:p w:rsidR="00022247" w:rsidRPr="00964257" w:rsidRDefault="00022247" w:rsidP="00022247">
      <w:pPr>
        <w:pStyle w:val="ListeParagraf"/>
        <w:numPr>
          <w:ilvl w:val="0"/>
          <w:numId w:val="1"/>
        </w:numPr>
        <w:spacing w:after="160" w:line="256" w:lineRule="auto"/>
      </w:pPr>
      <w:r w:rsidRPr="00964257">
        <w:t>Halatlar sistemdeki yük durumuna göre çelik çekirdekli ve / veya fiber çekirdekli olacaktır.</w:t>
      </w:r>
    </w:p>
    <w:p w:rsidR="00022247" w:rsidRPr="00964257" w:rsidRDefault="00022247" w:rsidP="00022247">
      <w:pPr>
        <w:pStyle w:val="ListeParagraf"/>
        <w:numPr>
          <w:ilvl w:val="0"/>
          <w:numId w:val="1"/>
        </w:numPr>
        <w:spacing w:after="160" w:line="256" w:lineRule="auto"/>
      </w:pPr>
      <w:r w:rsidRPr="00964257">
        <w:t>16 mm çelik çekirdekli halatın içinde toplam 91 çelik telcikten oluşmalıdır.</w:t>
      </w:r>
    </w:p>
    <w:p w:rsidR="00022247" w:rsidRPr="00964257" w:rsidRDefault="00022247" w:rsidP="00022247">
      <w:pPr>
        <w:pStyle w:val="ListeParagraf"/>
        <w:numPr>
          <w:ilvl w:val="0"/>
          <w:numId w:val="1"/>
        </w:numPr>
        <w:spacing w:after="160" w:line="256" w:lineRule="auto"/>
      </w:pPr>
      <w:r w:rsidRPr="00964257">
        <w:t>16 mm fiber çekirdekli halatın içinde her biri 0,80 mm kalınlığında 42 adet çelik telcik bulunacaktır.</w:t>
      </w:r>
    </w:p>
    <w:p w:rsidR="00022247" w:rsidRPr="00964257" w:rsidRDefault="00022247" w:rsidP="00022247">
      <w:pPr>
        <w:pStyle w:val="ListeParagraf"/>
        <w:numPr>
          <w:ilvl w:val="0"/>
          <w:numId w:val="1"/>
        </w:numPr>
        <w:spacing w:after="160" w:line="256" w:lineRule="auto"/>
      </w:pPr>
      <w:r w:rsidRPr="00964257">
        <w:t>16 mm çelik zırhlı halatlar 6 adet fitilden oluşacak ve her fitil 7 adet galvaniz çelik telli olup her fitilde kullanılan çelik tel çapı 2,4 mm olacaktır.</w:t>
      </w:r>
    </w:p>
    <w:p w:rsidR="00022247" w:rsidRPr="00964257" w:rsidRDefault="00022247" w:rsidP="00022247">
      <w:pPr>
        <w:pStyle w:val="ListeParagraf"/>
        <w:numPr>
          <w:ilvl w:val="0"/>
          <w:numId w:val="1"/>
        </w:numPr>
        <w:spacing w:after="160" w:line="256" w:lineRule="auto"/>
      </w:pPr>
      <w:r w:rsidRPr="00964257">
        <w:t xml:space="preserve">Halatlardaki her fitil naylon (PA6) veya polyester (PES) hammadden sürtünmeye ve kopmaya karşı dayanımını arttırmak amacı için </w:t>
      </w:r>
      <w:proofErr w:type="spellStart"/>
      <w:r w:rsidRPr="00964257">
        <w:t>breaded</w:t>
      </w:r>
      <w:proofErr w:type="spellEnd"/>
      <w:r w:rsidRPr="00964257">
        <w:t xml:space="preserve"> (örme) tekniği ile kaplanmalı ve dayanımını, dışardan zarar görmesini telden hammaddenin sıyrılmasını önlemek için özel bir proses ile tele yapıştırılmalıdır.</w:t>
      </w:r>
    </w:p>
    <w:p w:rsidR="00022247" w:rsidRPr="00964257" w:rsidRDefault="00022247" w:rsidP="00022247">
      <w:pPr>
        <w:pStyle w:val="ListeParagraf"/>
        <w:numPr>
          <w:ilvl w:val="0"/>
          <w:numId w:val="1"/>
        </w:numPr>
        <w:spacing w:after="160" w:line="256" w:lineRule="auto"/>
      </w:pPr>
      <w:r w:rsidRPr="00964257">
        <w:t>16 mm Fiber çekirdekli halatlar için ortada kalan fiber çekirdek 3 sarmallı ve 6 mm çapında yüksek dayanımlı olacaktır.</w:t>
      </w:r>
    </w:p>
    <w:p w:rsidR="00964257" w:rsidRPr="00964257" w:rsidRDefault="00022247" w:rsidP="00721ECF">
      <w:pPr>
        <w:pStyle w:val="ListeParagraf"/>
        <w:numPr>
          <w:ilvl w:val="0"/>
          <w:numId w:val="1"/>
        </w:numPr>
        <w:spacing w:after="160" w:line="256" w:lineRule="auto"/>
      </w:pPr>
      <w:r w:rsidRPr="00964257">
        <w:t>Doğrusal kırılma 16 mm zırhlı çelik halat için 7 ton olacaktır.</w:t>
      </w:r>
    </w:p>
    <w:p w:rsidR="00C62176" w:rsidRDefault="00C62176" w:rsidP="00C62176">
      <w:pPr>
        <w:rPr>
          <w:rFonts w:cstheme="minorHAnsi"/>
          <w:b/>
        </w:rPr>
      </w:pPr>
    </w:p>
    <w:p w:rsidR="00484DCC" w:rsidRDefault="00484DCC" w:rsidP="00484DCC">
      <w:pPr>
        <w:rPr>
          <w:rFonts w:cstheme="minorHAnsi"/>
          <w:b/>
        </w:rPr>
      </w:pPr>
      <w:r w:rsidRPr="007D021B">
        <w:rPr>
          <w:rFonts w:cstheme="minorHAnsi"/>
          <w:b/>
        </w:rPr>
        <w:t>KROM KAYDIRAK</w:t>
      </w:r>
    </w:p>
    <w:p w:rsidR="00484DCC" w:rsidRDefault="00484DCC" w:rsidP="00484DCC">
      <w:r w:rsidRPr="00E652E9">
        <w:t xml:space="preserve">Ürün üzerinde </w:t>
      </w:r>
      <w:r w:rsidR="0063361B">
        <w:t>2</w:t>
      </w:r>
      <w:r w:rsidRPr="00883319">
        <w:t xml:space="preserve"> adet krom kaydıra</w:t>
      </w:r>
      <w:r w:rsidR="00A14700">
        <w:t>k</w:t>
      </w:r>
      <w:r w:rsidRPr="00883319">
        <w:t xml:space="preserve"> bulunmalıdır.</w:t>
      </w:r>
      <w:r>
        <w:t xml:space="preserve"> K</w:t>
      </w:r>
      <w:r w:rsidRPr="00E652E9">
        <w:t>ullanılan kaydırak</w:t>
      </w:r>
      <w:r>
        <w:t>lar</w:t>
      </w:r>
      <w:r w:rsidRPr="00E652E9">
        <w:t xml:space="preserve">, </w:t>
      </w:r>
      <w:r>
        <w:t xml:space="preserve">asgari 2mm </w:t>
      </w:r>
      <w:r w:rsidRPr="00E652E9">
        <w:t>paslanmaz çelik malzemeden ergonomik olarak tasarlanıp, üretilmelidir.</w:t>
      </w:r>
    </w:p>
    <w:p w:rsidR="00484DCC" w:rsidRPr="00883319" w:rsidRDefault="00484DCC" w:rsidP="00484DCC">
      <w:r w:rsidRPr="00883319">
        <w:t xml:space="preserve">Kaydırak, kaydırak çıkışının bulunduğu taraftaki alt konstrüksiyon borularına </w:t>
      </w:r>
      <w:proofErr w:type="spellStart"/>
      <w:r w:rsidRPr="00883319">
        <w:t>min</w:t>
      </w:r>
      <w:proofErr w:type="spellEnd"/>
      <w:r w:rsidRPr="00883319">
        <w:t xml:space="preserve"> 2mm kalınlığında sacdan yapılmış aparat yardımıyla bağlanmalıdır. </w:t>
      </w:r>
    </w:p>
    <w:p w:rsidR="00484DCC" w:rsidRDefault="00484DCC" w:rsidP="00484DCC">
      <w:r>
        <w:t xml:space="preserve">Kaydırak yüzeyi lazer kesimden imal edilip, </w:t>
      </w:r>
      <w:proofErr w:type="spellStart"/>
      <w:r>
        <w:t>abkant</w:t>
      </w:r>
      <w:proofErr w:type="spellEnd"/>
      <w:r>
        <w:t xml:space="preserve"> teknolojisiyle bükülerek son formuna getirilmelidir.</w:t>
      </w:r>
    </w:p>
    <w:p w:rsidR="00484DCC" w:rsidRDefault="00484DCC" w:rsidP="00484DCC">
      <w:r>
        <w:t xml:space="preserve">Final ürün yekpare şekilde olup, </w:t>
      </w:r>
      <w:r w:rsidR="009567A0">
        <w:t xml:space="preserve">gerekli görülen tüm </w:t>
      </w:r>
      <w:proofErr w:type="gramStart"/>
      <w:r w:rsidR="009567A0">
        <w:t>noktalara  destek</w:t>
      </w:r>
      <w:proofErr w:type="gramEnd"/>
      <w:r w:rsidR="009567A0">
        <w:t xml:space="preserve"> kaydırak</w:t>
      </w:r>
      <w:r>
        <w:t xml:space="preserve"> ayağı eklenebilecek şekilde dizayn edilecektir.</w:t>
      </w:r>
    </w:p>
    <w:p w:rsidR="00484DCC" w:rsidRPr="00883319" w:rsidRDefault="0063361B" w:rsidP="0063361B">
      <w:r>
        <w:lastRenderedPageBreak/>
        <w:t>Büyük k</w:t>
      </w:r>
      <w:r w:rsidR="00484DCC" w:rsidRPr="00883319">
        <w:t xml:space="preserve">aydırak bağlantı </w:t>
      </w:r>
      <w:r w:rsidR="00484DCC" w:rsidRPr="005A6D0E">
        <w:t>yüksekliği</w:t>
      </w:r>
      <w:r w:rsidR="003B309F">
        <w:t xml:space="preserve"> zeminden </w:t>
      </w:r>
      <w:r>
        <w:t xml:space="preserve">7 </w:t>
      </w:r>
      <w:r w:rsidR="003B309F">
        <w:t>metre</w:t>
      </w:r>
      <w:r w:rsidR="00484DCC" w:rsidRPr="005A6D0E">
        <w:t xml:space="preserve"> olacaktır. </w:t>
      </w:r>
      <w:r>
        <w:t xml:space="preserve">Küçük </w:t>
      </w:r>
      <w:r>
        <w:t>k</w:t>
      </w:r>
      <w:r w:rsidRPr="00883319">
        <w:t xml:space="preserve">aydırak bağlantı </w:t>
      </w:r>
      <w:r w:rsidRPr="005A6D0E">
        <w:t>yüksekliği</w:t>
      </w:r>
      <w:r>
        <w:t xml:space="preserve"> </w:t>
      </w:r>
      <w:r>
        <w:t xml:space="preserve">ise </w:t>
      </w:r>
      <w:r>
        <w:t>zeminden</w:t>
      </w:r>
      <w:r>
        <w:t xml:space="preserve"> 3,3 metre olacaktır. </w:t>
      </w:r>
      <w:r w:rsidR="00484DCC" w:rsidRPr="005A6D0E">
        <w:t>Kaydırak</w:t>
      </w:r>
      <w:r w:rsidR="00484DCC" w:rsidRPr="00883319">
        <w:t xml:space="preserve"> tasarımı TSE EN 1176-3 standardı dikkate alınarak yapılacaktır.</w:t>
      </w:r>
    </w:p>
    <w:p w:rsidR="00484DCC" w:rsidRPr="00883319" w:rsidRDefault="00484DCC" w:rsidP="00484DCC">
      <w:r w:rsidRPr="00883319">
        <w:t>Kaydırak</w:t>
      </w:r>
      <w:r w:rsidR="0063361B">
        <w:t>lar</w:t>
      </w:r>
      <w:r w:rsidRPr="00883319">
        <w:t xml:space="preserve"> ve zemin arasında en az </w:t>
      </w:r>
      <w:r w:rsidR="0063361B">
        <w:t>2</w:t>
      </w:r>
      <w:r w:rsidRPr="00883319">
        <w:t xml:space="preserve"> noktada taşıyıcı destek bağlantısı olacaktır. Kaydırak, metal karkas taşıyıcı borularına alüminyum veya krom kaydırak bağlantı kelepçeleriyle veya AISI304 (DIN 1.4301) özellikli, düz paslanmaz çelikten lazer kesim yöntemi ile imal edilmiş, keskin köşelerden arındırılmış ve borulara uygun kaynak yöntemi ile kaynaklanmış bağlantı kulaklarına en az 5mm kalınlığında AISI304 (DIN 1.4301) özellikli, düz paslanmaz çelikten lazer kesim yöntemi ile imal edilmiş kaydırak bağlantı sacı yardımı ile bağlanacaktır.</w:t>
      </w:r>
    </w:p>
    <w:p w:rsidR="00484DCC" w:rsidRDefault="00484DCC" w:rsidP="00484DCC">
      <w:r>
        <w:t xml:space="preserve">Kayma yüzeyinin zemin ile yaptığı açı 30 – </w:t>
      </w:r>
      <w:r w:rsidR="0063361B">
        <w:t>40</w:t>
      </w:r>
      <w:r>
        <w:t xml:space="preserve"> derece olmalıdır.</w:t>
      </w:r>
    </w:p>
    <w:p w:rsidR="00484DCC" w:rsidRDefault="00484DCC" w:rsidP="00484DCC">
      <w:r>
        <w:t xml:space="preserve">Çıkış bölümündeki ayak zemin durumuna göre ayarlamak için </w:t>
      </w:r>
      <w:proofErr w:type="spellStart"/>
      <w:r>
        <w:t>kurslu</w:t>
      </w:r>
      <w:proofErr w:type="spellEnd"/>
      <w:r>
        <w:t xml:space="preserve"> tasarlanıp, üretilecektir.</w:t>
      </w:r>
    </w:p>
    <w:p w:rsidR="00484DCC" w:rsidRDefault="00484DCC" w:rsidP="00484DCC">
      <w:r>
        <w:t>Ürün üzerindeki tüm detaylar TS EN 1176-3 serilerine uygun olmalıdır.</w:t>
      </w:r>
    </w:p>
    <w:p w:rsidR="00484DCC" w:rsidRDefault="00484DCC" w:rsidP="00484DCC">
      <w:r>
        <w:t>Oyun grubun</w:t>
      </w:r>
      <w:bookmarkStart w:id="0" w:name="_GoBack"/>
      <w:bookmarkEnd w:id="0"/>
      <w:r>
        <w:t>da ilgili TSE standartları göz önünde bulundurularak tasarım ve üretim yapılacaktır.</w:t>
      </w:r>
    </w:p>
    <w:sectPr w:rsidR="00484DCC" w:rsidSect="0096425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209" w:rsidRDefault="00115209" w:rsidP="00FC2954">
      <w:pPr>
        <w:spacing w:after="0" w:line="240" w:lineRule="auto"/>
      </w:pPr>
      <w:r>
        <w:separator/>
      </w:r>
    </w:p>
  </w:endnote>
  <w:endnote w:type="continuationSeparator" w:id="0">
    <w:p w:rsidR="00115209" w:rsidRDefault="00115209" w:rsidP="00FC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209" w:rsidRDefault="00115209" w:rsidP="00FC2954">
      <w:pPr>
        <w:spacing w:after="0" w:line="240" w:lineRule="auto"/>
      </w:pPr>
      <w:r>
        <w:separator/>
      </w:r>
    </w:p>
  </w:footnote>
  <w:footnote w:type="continuationSeparator" w:id="0">
    <w:p w:rsidR="00115209" w:rsidRDefault="00115209" w:rsidP="00FC2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B1116"/>
    <w:multiLevelType w:val="hybridMultilevel"/>
    <w:tmpl w:val="D82E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D1128"/>
    <w:multiLevelType w:val="hybridMultilevel"/>
    <w:tmpl w:val="2E083A34"/>
    <w:lvl w:ilvl="0" w:tplc="B8006F4C">
      <w:start w:val="5"/>
      <w:numFmt w:val="bullet"/>
      <w:lvlText w:val=""/>
      <w:lvlJc w:val="left"/>
      <w:pPr>
        <w:ind w:left="36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1">
      <w:start w:val="1"/>
      <w:numFmt w:val="bullet"/>
      <w:lvlText w:val=""/>
      <w:lvlJc w:val="left"/>
      <w:pPr>
        <w:ind w:left="3600" w:hanging="360"/>
      </w:pPr>
      <w:rPr>
        <w:rFonts w:ascii="Symbol" w:hAnsi="Symbol"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3E"/>
    <w:rsid w:val="00017F88"/>
    <w:rsid w:val="00022247"/>
    <w:rsid w:val="000301B2"/>
    <w:rsid w:val="00045E83"/>
    <w:rsid w:val="000C1138"/>
    <w:rsid w:val="000C45F8"/>
    <w:rsid w:val="000E6E6D"/>
    <w:rsid w:val="00115209"/>
    <w:rsid w:val="00127AAC"/>
    <w:rsid w:val="00147C3D"/>
    <w:rsid w:val="00154AC0"/>
    <w:rsid w:val="00194742"/>
    <w:rsid w:val="001A09E0"/>
    <w:rsid w:val="001A5AF1"/>
    <w:rsid w:val="001D109D"/>
    <w:rsid w:val="001D53C9"/>
    <w:rsid w:val="001E1658"/>
    <w:rsid w:val="001F6751"/>
    <w:rsid w:val="00232C2A"/>
    <w:rsid w:val="00267BA1"/>
    <w:rsid w:val="002806F3"/>
    <w:rsid w:val="002F1A35"/>
    <w:rsid w:val="00302807"/>
    <w:rsid w:val="00385D84"/>
    <w:rsid w:val="00391D5F"/>
    <w:rsid w:val="003945D6"/>
    <w:rsid w:val="003B309F"/>
    <w:rsid w:val="003C069D"/>
    <w:rsid w:val="003E183E"/>
    <w:rsid w:val="00450B45"/>
    <w:rsid w:val="00462548"/>
    <w:rsid w:val="00484DCC"/>
    <w:rsid w:val="00487F18"/>
    <w:rsid w:val="004B4408"/>
    <w:rsid w:val="004D24A4"/>
    <w:rsid w:val="004D46F6"/>
    <w:rsid w:val="004D501C"/>
    <w:rsid w:val="004F18E3"/>
    <w:rsid w:val="00547F95"/>
    <w:rsid w:val="00572185"/>
    <w:rsid w:val="00573DE9"/>
    <w:rsid w:val="005A54D1"/>
    <w:rsid w:val="005A6D0E"/>
    <w:rsid w:val="005C2A63"/>
    <w:rsid w:val="005D04A4"/>
    <w:rsid w:val="005E2EB9"/>
    <w:rsid w:val="00610428"/>
    <w:rsid w:val="00620C8C"/>
    <w:rsid w:val="0062119C"/>
    <w:rsid w:val="0063361B"/>
    <w:rsid w:val="0067781E"/>
    <w:rsid w:val="00681F89"/>
    <w:rsid w:val="0068476E"/>
    <w:rsid w:val="0069219D"/>
    <w:rsid w:val="00697A25"/>
    <w:rsid w:val="006B139D"/>
    <w:rsid w:val="006C0107"/>
    <w:rsid w:val="006C2553"/>
    <w:rsid w:val="006C2B45"/>
    <w:rsid w:val="006E6F8E"/>
    <w:rsid w:val="006F644A"/>
    <w:rsid w:val="00721ECF"/>
    <w:rsid w:val="00722F11"/>
    <w:rsid w:val="00724879"/>
    <w:rsid w:val="00730995"/>
    <w:rsid w:val="00786614"/>
    <w:rsid w:val="007D021B"/>
    <w:rsid w:val="007F1769"/>
    <w:rsid w:val="0083108E"/>
    <w:rsid w:val="0085471F"/>
    <w:rsid w:val="00861E2A"/>
    <w:rsid w:val="00891811"/>
    <w:rsid w:val="008A352A"/>
    <w:rsid w:val="008C2E2D"/>
    <w:rsid w:val="00900425"/>
    <w:rsid w:val="00927542"/>
    <w:rsid w:val="00945A26"/>
    <w:rsid w:val="009567A0"/>
    <w:rsid w:val="00956D51"/>
    <w:rsid w:val="00964257"/>
    <w:rsid w:val="009D6FD0"/>
    <w:rsid w:val="009D723D"/>
    <w:rsid w:val="009F0395"/>
    <w:rsid w:val="00A14700"/>
    <w:rsid w:val="00A14E00"/>
    <w:rsid w:val="00A22675"/>
    <w:rsid w:val="00A33043"/>
    <w:rsid w:val="00A871C3"/>
    <w:rsid w:val="00AA56FF"/>
    <w:rsid w:val="00AC10EF"/>
    <w:rsid w:val="00AE2BA7"/>
    <w:rsid w:val="00B27C28"/>
    <w:rsid w:val="00B64A20"/>
    <w:rsid w:val="00B71A74"/>
    <w:rsid w:val="00B872A6"/>
    <w:rsid w:val="00BA0326"/>
    <w:rsid w:val="00BC7FE8"/>
    <w:rsid w:val="00C62176"/>
    <w:rsid w:val="00C842B8"/>
    <w:rsid w:val="00CB2289"/>
    <w:rsid w:val="00CC2034"/>
    <w:rsid w:val="00CD4D02"/>
    <w:rsid w:val="00D16FF5"/>
    <w:rsid w:val="00D56857"/>
    <w:rsid w:val="00DB261B"/>
    <w:rsid w:val="00DB4608"/>
    <w:rsid w:val="00E01332"/>
    <w:rsid w:val="00E139A6"/>
    <w:rsid w:val="00E420AF"/>
    <w:rsid w:val="00E4520E"/>
    <w:rsid w:val="00E45F35"/>
    <w:rsid w:val="00E5769C"/>
    <w:rsid w:val="00EC3FD4"/>
    <w:rsid w:val="00EE7CD7"/>
    <w:rsid w:val="00EF2249"/>
    <w:rsid w:val="00EF263B"/>
    <w:rsid w:val="00F02540"/>
    <w:rsid w:val="00F7101F"/>
    <w:rsid w:val="00F71A2F"/>
    <w:rsid w:val="00F727C9"/>
    <w:rsid w:val="00F960DC"/>
    <w:rsid w:val="00FA32FB"/>
    <w:rsid w:val="00FC2954"/>
    <w:rsid w:val="00FD7010"/>
    <w:rsid w:val="00FE52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992D"/>
  <w15:chartTrackingRefBased/>
  <w15:docId w15:val="{4FFF21F6-42B8-48AE-B33C-046C79BC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22247"/>
    <w:pPr>
      <w:spacing w:after="200" w:line="276" w:lineRule="auto"/>
      <w:ind w:left="720"/>
      <w:contextualSpacing/>
    </w:pPr>
    <w:rPr>
      <w:rFonts w:ascii="Calibri" w:eastAsia="Calibri" w:hAnsi="Calibri" w:cs="Times New Roman"/>
    </w:rPr>
  </w:style>
  <w:style w:type="paragraph" w:styleId="ResimYazs">
    <w:name w:val="caption"/>
    <w:basedOn w:val="Normal"/>
    <w:next w:val="Normal"/>
    <w:uiPriority w:val="35"/>
    <w:unhideWhenUsed/>
    <w:qFormat/>
    <w:rsid w:val="00C62176"/>
    <w:pPr>
      <w:spacing w:after="200" w:line="240" w:lineRule="auto"/>
    </w:pPr>
    <w:rPr>
      <w:i/>
      <w:iCs/>
      <w:color w:val="44546A" w:themeColor="text2"/>
      <w:sz w:val="18"/>
      <w:szCs w:val="18"/>
    </w:rPr>
  </w:style>
  <w:style w:type="paragraph" w:styleId="stBilgi">
    <w:name w:val="header"/>
    <w:basedOn w:val="Normal"/>
    <w:link w:val="stBilgiChar"/>
    <w:uiPriority w:val="99"/>
    <w:unhideWhenUsed/>
    <w:rsid w:val="00FC295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C2954"/>
  </w:style>
  <w:style w:type="paragraph" w:styleId="AltBilgi">
    <w:name w:val="footer"/>
    <w:basedOn w:val="Normal"/>
    <w:link w:val="AltBilgiChar"/>
    <w:uiPriority w:val="99"/>
    <w:unhideWhenUsed/>
    <w:rsid w:val="00FC295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C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22161">
      <w:bodyDiv w:val="1"/>
      <w:marLeft w:val="0"/>
      <w:marRight w:val="0"/>
      <w:marTop w:val="0"/>
      <w:marBottom w:val="0"/>
      <w:divBdr>
        <w:top w:val="none" w:sz="0" w:space="0" w:color="auto"/>
        <w:left w:val="none" w:sz="0" w:space="0" w:color="auto"/>
        <w:bottom w:val="none" w:sz="0" w:space="0" w:color="auto"/>
        <w:right w:val="none" w:sz="0" w:space="0" w:color="auto"/>
      </w:divBdr>
    </w:div>
    <w:div w:id="1298953339">
      <w:bodyDiv w:val="1"/>
      <w:marLeft w:val="0"/>
      <w:marRight w:val="0"/>
      <w:marTop w:val="0"/>
      <w:marBottom w:val="0"/>
      <w:divBdr>
        <w:top w:val="none" w:sz="0" w:space="0" w:color="auto"/>
        <w:left w:val="none" w:sz="0" w:space="0" w:color="auto"/>
        <w:bottom w:val="none" w:sz="0" w:space="0" w:color="auto"/>
        <w:right w:val="none" w:sz="0" w:space="0" w:color="auto"/>
      </w:divBdr>
    </w:div>
    <w:div w:id="21177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EF33E-FF61-462C-8B76-2E1EBB15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870</Words>
  <Characters>4961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Sezin CIKCIK</dc:creator>
  <cp:keywords/>
  <dc:description/>
  <cp:lastModifiedBy>Uğur TURGUT</cp:lastModifiedBy>
  <cp:revision>4</cp:revision>
  <dcterms:created xsi:type="dcterms:W3CDTF">2019-01-24T10:06:00Z</dcterms:created>
  <dcterms:modified xsi:type="dcterms:W3CDTF">2019-02-26T11:12:00Z</dcterms:modified>
</cp:coreProperties>
</file>