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A9" w:rsidRDefault="001929A9" w:rsidP="001929A9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:rsidR="001929A9" w:rsidRDefault="001929A9" w:rsidP="001929A9">
      <w:pPr>
        <w:ind w:left="708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ACT 107   Tekli Yürüme </w:t>
      </w:r>
    </w:p>
    <w:p w:rsidR="001929A9" w:rsidRDefault="001929A9" w:rsidP="001929A9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:rsidR="001929A9" w:rsidRDefault="001929A9" w:rsidP="001929A9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ÖLÇÜLER: </w:t>
      </w:r>
      <w:r w:rsidR="00153678">
        <w:rPr>
          <w:rFonts w:ascii="Arial" w:hAnsi="Arial" w:cs="Arial"/>
          <w:b/>
          <w:color w:val="FF0000"/>
          <w:sz w:val="22"/>
          <w:szCs w:val="22"/>
        </w:rPr>
        <w:t>150x195x135</w:t>
      </w:r>
    </w:p>
    <w:p w:rsidR="001929A9" w:rsidRDefault="001929A9" w:rsidP="001929A9">
      <w:pPr>
        <w:jc w:val="both"/>
        <w:rPr>
          <w:rFonts w:ascii="Arial" w:hAnsi="Arial" w:cs="Arial"/>
          <w:b/>
          <w:sz w:val="22"/>
          <w:szCs w:val="22"/>
        </w:rPr>
      </w:pP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Ana Gövde/Diğer Ekipmanlar:</w:t>
      </w:r>
      <w:r>
        <w:rPr>
          <w:rFonts w:ascii="Arial" w:hAnsi="Arial" w:cs="Arial"/>
          <w:sz w:val="22"/>
          <w:szCs w:val="22"/>
        </w:rPr>
        <w:t xml:space="preserve"> 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76,4 mm çapında ve 3-5 mm et </w:t>
      </w:r>
      <w:proofErr w:type="spellStart"/>
      <w:r>
        <w:rPr>
          <w:rFonts w:ascii="Arial" w:hAnsi="Arial" w:cs="Arial"/>
          <w:sz w:val="22"/>
          <w:szCs w:val="22"/>
        </w:rPr>
        <w:t>kalınlığındadır.Ürün</w:t>
      </w:r>
      <w:proofErr w:type="spellEnd"/>
      <w:r>
        <w:rPr>
          <w:rFonts w:ascii="Arial" w:hAnsi="Arial" w:cs="Arial"/>
          <w:sz w:val="22"/>
          <w:szCs w:val="22"/>
        </w:rPr>
        <w:t xml:space="preserve"> genel olarak şasenin sağlamlığını arttıran bayraklar tasarımsal olarak </w:t>
      </w:r>
      <w:proofErr w:type="spellStart"/>
      <w:r>
        <w:rPr>
          <w:rFonts w:ascii="Arial" w:hAnsi="Arial" w:cs="Arial"/>
          <w:sz w:val="22"/>
          <w:szCs w:val="22"/>
        </w:rPr>
        <w:t>hpl’ler</w:t>
      </w:r>
      <w:proofErr w:type="spellEnd"/>
      <w:r>
        <w:rPr>
          <w:rFonts w:ascii="Arial" w:hAnsi="Arial" w:cs="Arial"/>
          <w:sz w:val="22"/>
          <w:szCs w:val="22"/>
        </w:rPr>
        <w:t xml:space="preserve"> ile gizlenecek ve tüm </w:t>
      </w:r>
      <w:proofErr w:type="spellStart"/>
      <w:r>
        <w:rPr>
          <w:rFonts w:ascii="Arial" w:hAnsi="Arial" w:cs="Arial"/>
          <w:sz w:val="22"/>
          <w:szCs w:val="22"/>
        </w:rPr>
        <w:t>act</w:t>
      </w:r>
      <w:proofErr w:type="spellEnd"/>
      <w:r>
        <w:rPr>
          <w:rFonts w:ascii="Arial" w:hAnsi="Arial" w:cs="Arial"/>
          <w:sz w:val="22"/>
          <w:szCs w:val="22"/>
        </w:rPr>
        <w:t xml:space="preserve"> serilerinde bu çizgi mevcut olarak bütünlük sağlanacaktır .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 gövdeye bağlı hareketli parçalar 60 mm çap ve 2-4 mm et kalınlığındadır. Sistemde kullanılan rulmanların numarası 6207,6404 ve DK – S </w:t>
      </w:r>
      <w:proofErr w:type="spellStart"/>
      <w:r>
        <w:rPr>
          <w:rFonts w:ascii="Arial" w:hAnsi="Arial" w:cs="Arial"/>
          <w:sz w:val="22"/>
          <w:szCs w:val="22"/>
        </w:rPr>
        <w:t>Rosta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torsiyon</w:t>
      </w:r>
      <w:proofErr w:type="spellEnd"/>
      <w:r>
        <w:rPr>
          <w:rFonts w:ascii="Arial" w:hAnsi="Arial" w:cs="Arial"/>
          <w:sz w:val="22"/>
          <w:szCs w:val="22"/>
        </w:rPr>
        <w:t xml:space="preserve"> kullanılacaktır, rulman ve </w:t>
      </w:r>
      <w:proofErr w:type="spellStart"/>
      <w:r>
        <w:rPr>
          <w:rFonts w:ascii="Arial" w:hAnsi="Arial" w:cs="Arial"/>
          <w:sz w:val="22"/>
          <w:szCs w:val="22"/>
        </w:rPr>
        <w:t>rostanın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yataklanmasını</w:t>
      </w:r>
      <w:proofErr w:type="spellEnd"/>
      <w:r>
        <w:rPr>
          <w:rFonts w:ascii="Arial" w:hAnsi="Arial" w:cs="Arial"/>
          <w:sz w:val="22"/>
          <w:szCs w:val="22"/>
        </w:rPr>
        <w:t xml:space="preserve"> sağlayacak</w:t>
      </w:r>
      <w:r w:rsidR="00153678">
        <w:rPr>
          <w:rFonts w:ascii="Arial" w:hAnsi="Arial" w:cs="Arial"/>
          <w:sz w:val="22"/>
          <w:szCs w:val="22"/>
        </w:rPr>
        <w:t xml:space="preserve"> C 1040</w:t>
      </w:r>
      <w:r>
        <w:rPr>
          <w:rFonts w:ascii="Arial" w:hAnsi="Arial" w:cs="Arial"/>
          <w:sz w:val="22"/>
          <w:szCs w:val="22"/>
        </w:rPr>
        <w:t xml:space="preserve"> malzeme yatak ile montajı ana şasedeki </w:t>
      </w:r>
      <w:proofErr w:type="spellStart"/>
      <w:r w:rsidR="00153678">
        <w:rPr>
          <w:rFonts w:ascii="Arial" w:hAnsi="Arial" w:cs="Arial"/>
          <w:sz w:val="22"/>
          <w:szCs w:val="22"/>
        </w:rPr>
        <w:t>minumum</w:t>
      </w:r>
      <w:proofErr w:type="spellEnd"/>
      <w:r w:rsidR="00153678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>mm saca yapılacaktır.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Kullanılacak tutamak </w:t>
      </w:r>
      <w:proofErr w:type="spellStart"/>
      <w:r>
        <w:rPr>
          <w:rFonts w:ascii="Arial" w:hAnsi="Arial" w:cs="Arial"/>
          <w:sz w:val="22"/>
          <w:szCs w:val="22"/>
        </w:rPr>
        <w:t>ko</w:t>
      </w:r>
      <w:proofErr w:type="spellEnd"/>
      <w:r>
        <w:rPr>
          <w:rFonts w:ascii="Arial" w:hAnsi="Arial" w:cs="Arial"/>
          <w:sz w:val="22"/>
          <w:szCs w:val="22"/>
        </w:rPr>
        <w:t xml:space="preserve">-enjeksiyon teknolojisi ile üretilecek ve tutuş ergonomisine göre tasarlanacaktır. 55 </w:t>
      </w:r>
      <w:proofErr w:type="spellStart"/>
      <w:r>
        <w:rPr>
          <w:rFonts w:ascii="Arial" w:hAnsi="Arial" w:cs="Arial"/>
          <w:sz w:val="22"/>
          <w:szCs w:val="22"/>
        </w:rPr>
        <w:t>shore</w:t>
      </w:r>
      <w:proofErr w:type="spellEnd"/>
      <w:r>
        <w:rPr>
          <w:rFonts w:ascii="Arial" w:hAnsi="Arial" w:cs="Arial"/>
          <w:sz w:val="22"/>
          <w:szCs w:val="22"/>
        </w:rPr>
        <w:t xml:space="preserve"> olarak üretilen tutamağın temas </w:t>
      </w:r>
      <w:proofErr w:type="spellStart"/>
      <w:r>
        <w:rPr>
          <w:rFonts w:ascii="Arial" w:hAnsi="Arial" w:cs="Arial"/>
          <w:sz w:val="22"/>
          <w:szCs w:val="22"/>
        </w:rPr>
        <w:t>yüzeği</w:t>
      </w:r>
      <w:proofErr w:type="spellEnd"/>
      <w:r>
        <w:rPr>
          <w:rFonts w:ascii="Arial" w:hAnsi="Arial" w:cs="Arial"/>
          <w:sz w:val="22"/>
          <w:szCs w:val="22"/>
        </w:rPr>
        <w:t xml:space="preserve"> maksimum tutuş sağlayacak </w:t>
      </w:r>
      <w:proofErr w:type="spellStart"/>
      <w:r>
        <w:rPr>
          <w:rFonts w:ascii="Arial" w:hAnsi="Arial" w:cs="Arial"/>
          <w:sz w:val="22"/>
          <w:szCs w:val="22"/>
        </w:rPr>
        <w:t>elastomer</w:t>
      </w:r>
      <w:proofErr w:type="spellEnd"/>
      <w:r>
        <w:rPr>
          <w:rFonts w:ascii="Arial" w:hAnsi="Arial" w:cs="Arial"/>
          <w:sz w:val="22"/>
          <w:szCs w:val="22"/>
        </w:rPr>
        <w:t xml:space="preserve"> malzemeyle üretilecektir. 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Ayaklık parçası için sürtünmeyi arttırmak için özel olarak kaymayacak şekilde tasarlanacak, üst yüzeyinde su akışını sağlayan birikmesini önleyen kanallar olacaktır ve 60’lık boru üzerine montajı yapılacak şekilde enjeksiyonla üretilecektir.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Ürün üzerinde tasarımsal olarak serinin bağlantısını sağlayan alüminyum </w:t>
      </w:r>
      <w:proofErr w:type="spellStart"/>
      <w:r>
        <w:rPr>
          <w:rFonts w:ascii="Arial" w:hAnsi="Arial" w:cs="Arial"/>
          <w:sz w:val="22"/>
          <w:szCs w:val="22"/>
        </w:rPr>
        <w:t>kokil</w:t>
      </w:r>
      <w:proofErr w:type="spellEnd"/>
      <w:r>
        <w:rPr>
          <w:rFonts w:ascii="Arial" w:hAnsi="Arial" w:cs="Arial"/>
          <w:sz w:val="22"/>
          <w:szCs w:val="22"/>
        </w:rPr>
        <w:t xml:space="preserve"> dökümden imal edilecek iki adet kapak olacaktır.</w:t>
      </w:r>
    </w:p>
    <w:p w:rsidR="001929A9" w:rsidRDefault="001929A9" w:rsidP="001929A9">
      <w:pPr>
        <w:jc w:val="both"/>
        <w:rPr>
          <w:rFonts w:ascii="Arial" w:hAnsi="Arial" w:cs="Arial"/>
          <w:b/>
          <w:sz w:val="22"/>
          <w:szCs w:val="22"/>
        </w:rPr>
      </w:pPr>
    </w:p>
    <w:p w:rsidR="001929A9" w:rsidRDefault="001929A9" w:rsidP="001929A9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Amaç:</w:t>
      </w:r>
      <w:r>
        <w:rPr>
          <w:rFonts w:ascii="Arial" w:hAnsi="Arial" w:cs="Arial"/>
          <w:sz w:val="23"/>
          <w:szCs w:val="23"/>
        </w:rPr>
        <w:t xml:space="preserve"> 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Ürün tek fonksiyon tek istasyonda bacak, basen bölgelerini çalıştırır, vücudun bu bölgelerinde bulunan kasları sıkılaştırarak </w:t>
      </w:r>
      <w:proofErr w:type="spellStart"/>
      <w:r>
        <w:rPr>
          <w:rFonts w:ascii="Arial" w:hAnsi="Arial" w:cs="Arial"/>
          <w:sz w:val="22"/>
          <w:szCs w:val="22"/>
        </w:rPr>
        <w:t>kardivasküler</w:t>
      </w:r>
      <w:proofErr w:type="spellEnd"/>
      <w:r>
        <w:rPr>
          <w:rFonts w:ascii="Arial" w:hAnsi="Arial" w:cs="Arial"/>
          <w:sz w:val="22"/>
          <w:szCs w:val="22"/>
        </w:rPr>
        <w:t xml:space="preserve"> dayanıklılığı artırır. El ve bacak uzuvlarını ritmik ve koordineli olarak çalıştırarak kalp egzersizi olan yürüyüş sayesinde kalbin düzenli çalışmasına ve kan pompalamasına yardımcı olur.</w:t>
      </w:r>
    </w:p>
    <w:p w:rsidR="001929A9" w:rsidRDefault="001929A9" w:rsidP="001929A9">
      <w:pPr>
        <w:jc w:val="both"/>
        <w:rPr>
          <w:rFonts w:ascii="Arial" w:hAnsi="Arial" w:cs="Arial"/>
          <w:sz w:val="23"/>
          <w:szCs w:val="23"/>
        </w:rPr>
      </w:pPr>
    </w:p>
    <w:p w:rsidR="001929A9" w:rsidRDefault="001929A9" w:rsidP="001929A9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Kullanım ve Özellikleri: 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Mevcut pedallara ayaklarla basıp, öndeki kolları çift elle ileri geri hareket ettirerek tüm vücudu çalıştırmaya yarayan spor aletidir.</w:t>
      </w:r>
    </w:p>
    <w:p w:rsidR="001929A9" w:rsidRDefault="001929A9" w:rsidP="001929A9">
      <w:pPr>
        <w:jc w:val="both"/>
        <w:rPr>
          <w:rFonts w:ascii="Arial" w:hAnsi="Arial" w:cs="Arial"/>
          <w:sz w:val="22"/>
          <w:szCs w:val="22"/>
        </w:rPr>
      </w:pPr>
    </w:p>
    <w:p w:rsidR="001929A9" w:rsidRDefault="00153678" w:rsidP="001929A9">
      <w:pPr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9661585" cy="7389865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976" cy="739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B37" w:rsidRDefault="000C2B37"/>
    <w:sectPr w:rsidR="000C2B37" w:rsidSect="000620EE">
      <w:pgSz w:w="23811" w:h="16838" w:orient="landscape" w:code="8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A9"/>
    <w:rsid w:val="000620EE"/>
    <w:rsid w:val="000C2B37"/>
    <w:rsid w:val="00153678"/>
    <w:rsid w:val="001929A9"/>
    <w:rsid w:val="00263E54"/>
    <w:rsid w:val="00AB3FAD"/>
    <w:rsid w:val="00F9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98FCAF"/>
  <w15:chartTrackingRefBased/>
  <w15:docId w15:val="{8C78046E-E731-4DAC-85BA-DCDE5B4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9A9"/>
    <w:pPr>
      <w:spacing w:after="0" w:line="240" w:lineRule="auto"/>
    </w:pPr>
    <w:rPr>
      <w:rFonts w:ascii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VATANSEVER</dc:creator>
  <cp:keywords/>
  <dc:description/>
  <cp:lastModifiedBy>Okan VATANSEVER</cp:lastModifiedBy>
  <cp:revision>3</cp:revision>
  <dcterms:created xsi:type="dcterms:W3CDTF">2017-12-14T10:11:00Z</dcterms:created>
  <dcterms:modified xsi:type="dcterms:W3CDTF">2018-10-17T11:44:00Z</dcterms:modified>
</cp:coreProperties>
</file>